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CD7B0E" w14:textId="137BCEF8" w:rsidR="00381EFB" w:rsidRDefault="005A129B" w:rsidP="00381EFB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0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3F78ABC" wp14:editId="3E220E1F">
            <wp:simplePos x="0" y="0"/>
            <wp:positionH relativeFrom="column">
              <wp:posOffset>-342900</wp:posOffset>
            </wp:positionH>
            <wp:positionV relativeFrom="paragraph">
              <wp:posOffset>207645</wp:posOffset>
            </wp:positionV>
            <wp:extent cx="2038350" cy="100012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45672" w14:textId="67F358E9" w:rsidR="00381EFB" w:rsidRPr="00BE2C48" w:rsidRDefault="00381EFB" w:rsidP="00026D25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i/>
          <w:iCs/>
          <w:color w:val="000000"/>
          <w:sz w:val="20"/>
          <w:szCs w:val="20"/>
          <w:lang w:eastAsia="pt-BR"/>
        </w:rPr>
        <w:t xml:space="preserve"> </w:t>
      </w:r>
    </w:p>
    <w:p w14:paraId="33153F03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CENTRO UNIVERSITÁRIO PROCESSUS</w:t>
      </w:r>
    </w:p>
    <w:p w14:paraId="511F29A2" w14:textId="199EB1E6" w:rsidR="00381EFB" w:rsidRPr="00774A47" w:rsidRDefault="007261BE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Atividade</w:t>
      </w:r>
      <w:r w:rsidR="00381EFB">
        <w:rPr>
          <w:b/>
        </w:rPr>
        <w:t xml:space="preserve"> Extensionista</w:t>
      </w:r>
      <w:r w:rsidR="002D049E">
        <w:rPr>
          <w:b/>
        </w:rPr>
        <w:t xml:space="preserve"> Direitos Humanos</w:t>
      </w:r>
    </w:p>
    <w:p w14:paraId="338D19FF" w14:textId="2ABBB11B" w:rsidR="00381EFB" w:rsidRDefault="00381EFB" w:rsidP="00381EF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>
        <w:rPr>
          <w:b/>
        </w:rPr>
        <w:t xml:space="preserve">PROJETO/AÇÃO </w:t>
      </w:r>
      <w:r w:rsidR="00E36372">
        <w:rPr>
          <w:b/>
        </w:rPr>
        <w:t>(02</w:t>
      </w:r>
      <w:r>
        <w:rPr>
          <w:b/>
        </w:rPr>
        <w:t>/</w:t>
      </w:r>
      <w:r w:rsidR="00E36372">
        <w:rPr>
          <w:b/>
        </w:rPr>
        <w:t>2023</w:t>
      </w:r>
      <w:r>
        <w:rPr>
          <w:b/>
        </w:rPr>
        <w:t>)</w:t>
      </w:r>
    </w:p>
    <w:p w14:paraId="5D5ACA37" w14:textId="2F2B5910" w:rsidR="00381EFB" w:rsidRPr="00BE2C48" w:rsidRDefault="00381EFB" w:rsidP="0044137A">
      <w:pPr>
        <w:adjustRightInd w:val="0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 1. 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Identificação do Objeto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562E81D4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7F0C8701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Atividade Extensionista:</w:t>
            </w:r>
          </w:p>
          <w:tbl>
            <w:tblPr>
              <w:tblW w:w="0" w:type="auto"/>
              <w:tblCellSpacing w:w="30" w:type="dxa"/>
              <w:tblInd w:w="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</w:tblGrid>
            <w:tr w:rsidR="00381EFB" w14:paraId="1CE825DF" w14:textId="77777777" w:rsidTr="00BC62DD">
              <w:trPr>
                <w:trHeight w:val="490"/>
                <w:tblCellSpacing w:w="30" w:type="dxa"/>
              </w:trPr>
              <w:tc>
                <w:tcPr>
                  <w:tcW w:w="8297" w:type="dxa"/>
                  <w:vAlign w:val="center"/>
                </w:tcPr>
                <w:p w14:paraId="1EA42834" w14:textId="17C48A6B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PROGRAMA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)             PROJETO  (</w:t>
                  </w:r>
                  <w:r w:rsidR="00FB3200">
                    <w:rPr>
                      <w:rFonts w:ascii="Helvetica" w:hAnsi="Helvetica" w:cs="Helvetica"/>
                      <w:sz w:val="17"/>
                      <w:szCs w:val="17"/>
                    </w:rPr>
                    <w:t>X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)              CURSO (    )              OFICINA (    )</w:t>
                  </w:r>
                </w:p>
                <w:p w14:paraId="1AA709AA" w14:textId="7777777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  <w:p w14:paraId="152A9022" w14:textId="7777777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EVENTO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 )            PRESTAÇÃO DE SERVIÇOS (      )          </w:t>
                  </w:r>
                  <w:r w:rsidRPr="006B7E1A">
                    <w:rPr>
                      <w:rFonts w:ascii="Helvetica" w:hAnsi="Helvetica" w:cs="Helvetica"/>
                      <w:sz w:val="17"/>
                      <w:szCs w:val="17"/>
                    </w:rPr>
                    <w:t>AÇÃO DE EXTENSÃO SOCIAL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(    )</w:t>
                  </w:r>
                </w:p>
              </w:tc>
            </w:tr>
          </w:tbl>
          <w:p w14:paraId="1101945C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Área Temática:</w:t>
            </w:r>
          </w:p>
          <w:p w14:paraId="59B60E38" w14:textId="3A9B691E" w:rsidR="00381EFB" w:rsidRPr="00BE2C48" w:rsidRDefault="002C757E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Direitos Humanos</w:t>
            </w:r>
            <w:r w:rsidR="002D049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e Justiça</w:t>
            </w:r>
          </w:p>
          <w:p w14:paraId="384C6DBC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Local de implementação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(Instituição parceira/conveniada)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671A94A5" w14:textId="7422F14A" w:rsidR="00381EFB" w:rsidRDefault="00FB3200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Uniprocessus</w:t>
            </w:r>
            <w:proofErr w:type="spellEnd"/>
          </w:p>
          <w:p w14:paraId="2622D2E7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Tí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ulo: </w:t>
            </w:r>
          </w:p>
          <w:p w14:paraId="21019E9C" w14:textId="2BBE94C8" w:rsidR="00381EFB" w:rsidRPr="00BE2C48" w:rsidRDefault="00FB3200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Garantia de direitos à população em situação de rua no Distrito Federal </w:t>
            </w:r>
          </w:p>
        </w:tc>
      </w:tr>
    </w:tbl>
    <w:p w14:paraId="51377838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  2. </w:t>
      </w:r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 xml:space="preserve">Identificação dos Autor(es) </w:t>
      </w:r>
      <w:proofErr w:type="gramStart"/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e A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rticulador</w:t>
      </w:r>
      <w:proofErr w:type="gramEnd"/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(es)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6279318C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495E985E" w14:textId="26CF105D" w:rsidR="00FB3200" w:rsidRPr="002C757E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C8226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CURSO:</w:t>
            </w:r>
            <w:r w:rsidR="002C757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B3200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Direito </w:t>
            </w:r>
          </w:p>
          <w:p w14:paraId="5BE4DB0F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de Curso </w:t>
            </w:r>
          </w:p>
          <w:p w14:paraId="7BBA3925" w14:textId="766CFBBF" w:rsidR="00FB3200" w:rsidRPr="002C757E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NOME:</w:t>
            </w:r>
            <w:r w:rsidR="002C757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B3200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Adalberto Nogueira Aleixo</w:t>
            </w:r>
          </w:p>
          <w:p w14:paraId="3282E432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E6EAA77" w14:textId="382538EC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79EDAFC5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68E7291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Articulador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(es)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/Orientador(es)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4913E3D2" w14:textId="5DB65D46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NOME:</w:t>
            </w:r>
            <w:r w:rsidR="002C757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3200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Lourivânia</w:t>
            </w:r>
            <w:proofErr w:type="spellEnd"/>
            <w:r w:rsidR="00FB3200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de Lacerda Castro </w:t>
            </w:r>
          </w:p>
          <w:p w14:paraId="1B17C502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E7D14CD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> </w:t>
      </w:r>
      <w:r w:rsidR="00B456D8">
        <w:rPr>
          <w:rFonts w:ascii="Verdana" w:hAnsi="Verdana"/>
          <w:b/>
          <w:bCs/>
          <w:color w:val="000000"/>
          <w:sz w:val="20"/>
          <w:szCs w:val="20"/>
          <w:lang w:eastAsia="pt-BR"/>
        </w:rPr>
        <w:t>Aluno(a)/</w:t>
      </w: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Equipe</w:t>
      </w:r>
    </w:p>
    <w:tbl>
      <w:tblPr>
        <w:tblW w:w="8827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7"/>
      </w:tblGrid>
      <w:tr w:rsidR="00381EFB" w:rsidRPr="00BE2C48" w14:paraId="30C34416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0F93B63F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  <w:r w:rsidR="001A783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/Matrícula</w:t>
            </w:r>
            <w:r w:rsidR="008D1F4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/Contato</w:t>
            </w:r>
            <w:r w:rsidR="00B456D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381EFB" w:rsidRPr="00BE2C48" w14:paraId="03D8D462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4E17D87B" w14:textId="54840D27" w:rsidR="00381EFB" w:rsidRPr="00FB3200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434DD2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Eliane Monteiro Dantas Medeiros/ 2110010000020/ </w:t>
            </w:r>
            <w:r w:rsidR="00434DD2" w:rsidRPr="0089075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eliane.medeiros@tst.jus.br</w:t>
            </w:r>
          </w:p>
        </w:tc>
      </w:tr>
      <w:tr w:rsidR="00381EFB" w:rsidRPr="00BE2C48" w14:paraId="4A04411C" w14:textId="77777777" w:rsidTr="00BC62DD">
        <w:trPr>
          <w:trHeight w:val="260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0586415" w14:textId="6058F374" w:rsidR="00381EFB" w:rsidRPr="00434DD2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434DD2" w:rsidRPr="00434DD2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Priscila Martins Alves/ 2310010000096/ </w:t>
            </w:r>
            <w:r w:rsidR="00434DD2" w:rsidRPr="00125CF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e-mail</w:t>
            </w:r>
            <w:r w:rsidR="00125CF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: prialvescontato@gmail.com</w:t>
            </w:r>
          </w:p>
        </w:tc>
      </w:tr>
    </w:tbl>
    <w:p w14:paraId="1C9288DE" w14:textId="77777777" w:rsidR="00381EFB" w:rsidRPr="00BE2C48" w:rsidRDefault="008D1F44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3</w:t>
      </w:r>
      <w:r w:rsidR="00381EFB"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. </w:t>
      </w:r>
      <w:r w:rsidR="00381EFB" w:rsidRPr="008D1F44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Desenvolvimento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8"/>
      </w:tblGrid>
      <w:tr w:rsidR="00381EFB" w:rsidRPr="00BE2C48" w14:paraId="447709C4" w14:textId="77777777" w:rsidTr="00026D25">
        <w:tc>
          <w:tcPr>
            <w:tcW w:w="964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C996405" w14:textId="2B517BBF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Fundamentação Teórica</w:t>
            </w:r>
          </w:p>
          <w:p w14:paraId="24E4A7F9" w14:textId="5887E0AE" w:rsidR="00681494" w:rsidRDefault="00681494" w:rsidP="00125CF4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Segundo o Decreto Nº 7.053, de 23 de dezembro de 2009, que institui a Política Nacional para a População em Situação de Rua (PNPSR), estar em situação de rua, significa viver em situação de extrema pobreza e sem moradia convencional. </w:t>
            </w:r>
          </w:p>
          <w:p w14:paraId="00706370" w14:textId="22C76B5A" w:rsidR="00125CF4" w:rsidRPr="00C748EE" w:rsidRDefault="00C748EE" w:rsidP="00C748EE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Morar</w:t>
            </w:r>
            <w:r w:rsidR="00125CF4" w:rsidRPr="00125CF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nas ruas não é</w:t>
            </w:r>
            <w:r w:rsidR="001B0C35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uma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escolha</w:t>
            </w:r>
            <w:r w:rsidR="001B0C35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Diversos são os motivos que levam as pessoas às ruas: vínculos familiares interrompidos, desemprego, vícios, entre outros. Além disso, é importante destacar que essa população vulnerável é exposta a uma série de fatores inoportunos, como: </w:t>
            </w:r>
            <w:r w:rsidR="00125CF4" w:rsidRPr="00125CF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violência, falta de saneamento básico e </w:t>
            </w:r>
            <w:r w:rsidR="001B0C35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de </w:t>
            </w:r>
            <w:r w:rsidR="00125CF4" w:rsidRPr="00125CF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higiene, falta de alimentação, precariedade e o abandono de uma vida digna. </w:t>
            </w:r>
          </w:p>
          <w:p w14:paraId="001745C2" w14:textId="0DE3BE94" w:rsidR="001B0C35" w:rsidRDefault="001B0C35" w:rsidP="00125CF4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 w:rsidRPr="001B0C35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acordo com o Guia de Atual Ministerial do Conselho Nacional do Ministério Público</w:t>
            </w:r>
            <w:r w:rsidR="00842B4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(CNMP)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, “[...] a</w:t>
            </w:r>
            <w:r w:rsidRPr="001B0C35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estigmatização dessa população, seja pela aparência pessoal, pela higiene corporal ou por qualquer outra forma, prejudica seu acesso às políticas públicas e a construção das p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ossibilidades de saída das ruas [...]”.</w:t>
            </w:r>
          </w:p>
          <w:p w14:paraId="007D0B02" w14:textId="6C740F98" w:rsidR="001B0C35" w:rsidRDefault="001B0C35" w:rsidP="00125CF4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Dessa forma, além do abandono material e moral, sofrido pelas pessoas em situação de rua, essas ainda enfrentam o preconceito da sociedade, o que afeta diretamente as suas oportunidades de saída das ruas. </w:t>
            </w:r>
          </w:p>
          <w:p w14:paraId="268A2A22" w14:textId="22C0AD80" w:rsidR="00842B44" w:rsidRDefault="001B0C35" w:rsidP="00842B44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Nesse sentido, acredita-se que os serviços de abordagem e acolhimento podem auxiliar essa população vulnerável a </w:t>
            </w:r>
            <w:r w:rsidR="00842B4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obter novas oportunidades de reintegração social. As </w:t>
            </w:r>
            <w:r w:rsidR="00125CF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residências inclusivas</w:t>
            </w:r>
            <w:r w:rsidR="00842B4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125CF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segundo as políticas das pessoas em situação de rua, precisam ser enquadradas na vivência geral da sociedade, </w:t>
            </w:r>
            <w:r w:rsidR="00125CF4" w:rsidRPr="00125CF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além de disponibilizar os meios necessários para </w:t>
            </w:r>
            <w:r w:rsidR="00842B4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a efetivação dos direitos das pessoas em situação de rua.  </w:t>
            </w:r>
          </w:p>
          <w:p w14:paraId="20711250" w14:textId="11C527B5" w:rsidR="00842B44" w:rsidRDefault="00842B44" w:rsidP="00125CF4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Ainda segundo o Guia de Atual Ministerial do CNMP, as políticas públicas “[...]</w:t>
            </w:r>
            <w:r w:rsidR="00D015E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42B44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devem ter caráter de conscientização da sociedade e de afirmação dos direitos, no sentido de fortalecer as possibilidades para a reconstrução de projetos e de trajetórias de vida que precipu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amente incluam a saída das ruas [...]”. </w:t>
            </w:r>
          </w:p>
          <w:p w14:paraId="5C4CD9D3" w14:textId="7168C6F3" w:rsidR="00842B44" w:rsidRDefault="00842B44" w:rsidP="00125CF4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Por isso, são necessárias campanhas que promovam a conscientização da sociedade quanto aos direitos das pessoas em situação de rua, além de políticas públicas que visem a sua reintegração à sociedade. </w:t>
            </w:r>
          </w:p>
          <w:p w14:paraId="53D4F1EA" w14:textId="77777777" w:rsidR="00842B44" w:rsidRDefault="00842B44" w:rsidP="00125CF4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</w:p>
          <w:p w14:paraId="70050AC7" w14:textId="77777777" w:rsidR="00842B44" w:rsidRDefault="00842B44" w:rsidP="00125CF4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</w:p>
          <w:p w14:paraId="3BE46803" w14:textId="77777777" w:rsidR="001A7838" w:rsidRPr="00BE2C48" w:rsidRDefault="001A7838" w:rsidP="00842B44">
            <w:pPr>
              <w:ind w:firstLine="170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  <w:tr w:rsidR="00381EFB" w:rsidRPr="00BE2C48" w14:paraId="00F4921E" w14:textId="77777777" w:rsidTr="00026D25">
        <w:tc>
          <w:tcPr>
            <w:tcW w:w="964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25BE7367" w14:textId="0EAAB293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Apresentação:</w:t>
            </w:r>
          </w:p>
          <w:p w14:paraId="280FE027" w14:textId="7D861F17" w:rsidR="00EC731B" w:rsidRDefault="00125CF4" w:rsidP="00234638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 w:rsidRPr="00707B48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O present</w:t>
            </w:r>
            <w:r w:rsidR="00707B48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Pr="00707B48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377A3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projeto</w:t>
            </w:r>
            <w:r w:rsidR="00083877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C731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trata dos direitos </w:t>
            </w:r>
            <w:r w:rsidR="00EC731B" w:rsidRPr="00707B48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das pessoas em situação de rua</w:t>
            </w:r>
            <w:r w:rsidR="00E36372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EC731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e visa, a partir do diagnóstico a respeito do grau de conhecimento d</w:t>
            </w:r>
            <w:r w:rsidR="00EC731B" w:rsidRPr="00707B48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a população do </w:t>
            </w:r>
            <w:r w:rsidR="00EC731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Distrito Federal</w:t>
            </w:r>
            <w:r w:rsidR="00EC731B" w:rsidRPr="00707B48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sobre as políticas</w:t>
            </w:r>
            <w:r w:rsidR="00EC731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públicas </w:t>
            </w:r>
            <w:r w:rsidR="00EC731B" w:rsidRPr="00707B48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e mecanismos </w:t>
            </w:r>
            <w:r w:rsidR="00EC731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de defesa e garantia de direitos </w:t>
            </w:r>
            <w:r w:rsidR="00EC731B" w:rsidRPr="00707B48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das pessoas em situação de rua</w:t>
            </w:r>
            <w:r w:rsidR="00EC731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, conscientizar a sociedade em relação aos aludidos direitos. </w:t>
            </w:r>
          </w:p>
          <w:p w14:paraId="5A645054" w14:textId="77777777" w:rsidR="008D6719" w:rsidRPr="00707B48" w:rsidRDefault="008D6719" w:rsidP="00707B48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</w:p>
          <w:p w14:paraId="74041B1F" w14:textId="77777777" w:rsidR="008D6719" w:rsidRDefault="00381EFB" w:rsidP="008D6719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Justificativa:</w:t>
            </w:r>
          </w:p>
          <w:p w14:paraId="4B7FA684" w14:textId="6CF79835" w:rsidR="005F2BED" w:rsidRDefault="005F2BED" w:rsidP="008D6719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lastRenderedPageBreak/>
              <w:t>As pessoas em situação de rua convivem diariamente com a total ausência de cuidados, de direitos e com os estere</w:t>
            </w:r>
            <w:r w:rsidR="00A80F77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ótipos e preconceitos sociais,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que dificultam ainda mais as suas vidas e oportunidades.</w:t>
            </w:r>
          </w:p>
          <w:p w14:paraId="533D76A6" w14:textId="4AD84266" w:rsidR="005F2BED" w:rsidRDefault="005F2BED" w:rsidP="008D6719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Diante desse cenário, observou-se a necessidade de conscientização da sociedade a respeito da humanidade dessa população, de seus direitos e dos serviços oferecidos a ela.</w:t>
            </w:r>
          </w:p>
          <w:p w14:paraId="467611E6" w14:textId="77777777" w:rsidR="005F2BED" w:rsidRPr="008D6719" w:rsidRDefault="005F2BED" w:rsidP="005F2BED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 w:rsidRPr="008D6719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O Serviço Especializado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p</w:t>
            </w:r>
            <w:r w:rsidRPr="008D6719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p</w:t>
            </w:r>
            <w:r w:rsidRPr="008D6719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essoas em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si</w:t>
            </w:r>
            <w:r w:rsidRPr="008D6719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tuação de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r</w:t>
            </w:r>
            <w:r w:rsidRPr="008D6719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ua tem por finalidade assegurar o atendimento e o desenvolvimento de atividades de sociabilidade.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Ele</w:t>
            </w:r>
            <w:r w:rsidRPr="008D6719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visa o fortalecimento de vínculos interpessoais e familiares, como forma de contribuir para a construção de novos projetos e trajetórias de vida.</w:t>
            </w:r>
          </w:p>
          <w:p w14:paraId="6BA380FE" w14:textId="3899886E" w:rsidR="005F2BED" w:rsidRDefault="005F2BED" w:rsidP="008D6719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Esse tipo de trabalho é fundamental para o reingresso dessa população na sociedade. </w:t>
            </w:r>
            <w:r w:rsidR="008008CC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O favorecimento dos vínculos comunitários e familiares tem papel importante nesse sentido.</w:t>
            </w:r>
          </w:p>
          <w:p w14:paraId="7513AB97" w14:textId="1D639DBC" w:rsidR="008008CC" w:rsidRDefault="008008CC" w:rsidP="00E36372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Dessa forma, acredita-se que a elaboração de uma cartilha informativa, contendo os principais direitos dessa população, contribuirá no sentido de alertar e conscientizar a sociedade do Distrito Federal em relação aos direitos da população em situação de rua. </w:t>
            </w:r>
          </w:p>
          <w:p w14:paraId="3B093783" w14:textId="77777777" w:rsidR="005F2BED" w:rsidRDefault="005F2BED" w:rsidP="008D6719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</w:p>
          <w:p w14:paraId="7D920E6D" w14:textId="77777777" w:rsidR="002C757E" w:rsidRDefault="002C757E" w:rsidP="008D6719">
            <w:pPr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</w:p>
          <w:p w14:paraId="0BC935C2" w14:textId="7591CEBE" w:rsidR="00381EFB" w:rsidRDefault="00381EFB" w:rsidP="002C757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Objetivos:</w:t>
            </w:r>
          </w:p>
          <w:p w14:paraId="632F15F8" w14:textId="77777777" w:rsidR="002C757E" w:rsidRPr="00BE2C48" w:rsidRDefault="002C757E" w:rsidP="002C757E">
            <w:pP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41201005" w14:textId="77777777" w:rsidR="00381EFB" w:rsidRDefault="00381EFB" w:rsidP="002C757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Geral</w:t>
            </w:r>
          </w:p>
          <w:p w14:paraId="4209046D" w14:textId="6F0C96D1" w:rsidR="00434DD2" w:rsidRDefault="00434DD2" w:rsidP="002C757E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Prestar orientações à sociedade do Distrito Federal a respeito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dos direitos da população em situação de rua.</w:t>
            </w:r>
          </w:p>
          <w:p w14:paraId="5E8159E4" w14:textId="77777777" w:rsidR="002C757E" w:rsidRPr="00434DD2" w:rsidRDefault="002C757E" w:rsidP="002C757E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30703339" w14:textId="2362628C" w:rsidR="00381EFB" w:rsidRPr="00BE2C48" w:rsidRDefault="00381EFB" w:rsidP="002C757E">
            <w:pP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Específicos</w:t>
            </w:r>
          </w:p>
          <w:p w14:paraId="053BA2DB" w14:textId="3B727298" w:rsidR="00434DD2" w:rsidRDefault="00434DD2" w:rsidP="002C757E">
            <w:pP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Advertir as pessoas quanto ao tratamento destinado à população em situação de rua;</w:t>
            </w:r>
          </w:p>
          <w:p w14:paraId="1EA616E2" w14:textId="77777777" w:rsidR="002C757E" w:rsidRDefault="002C757E" w:rsidP="002C757E">
            <w:pP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472CC8C3" w14:textId="77777777" w:rsidR="00381EFB" w:rsidRPr="00BE2C48" w:rsidRDefault="00381EFB" w:rsidP="002C757E">
            <w:pP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Metas:</w:t>
            </w:r>
          </w:p>
          <w:p w14:paraId="63C9A16A" w14:textId="7687FD71" w:rsidR="00381EFB" w:rsidRDefault="00381EFB" w:rsidP="002C757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036EA71E" w14:textId="2C8AB4DD" w:rsidR="002C757E" w:rsidRDefault="002C757E" w:rsidP="002C757E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1 – Realizar diagnóstico sobre o conhecimento de pessoas residentes do Distrito Federal sobre as pessoas em situação de rua;</w:t>
            </w:r>
          </w:p>
          <w:p w14:paraId="6F8FA49E" w14:textId="77777777" w:rsidR="002C757E" w:rsidRDefault="002C757E" w:rsidP="002C757E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7486412A" w14:textId="198A7782" w:rsidR="002C757E" w:rsidRDefault="002C757E" w:rsidP="002C757E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2 – Entrevista com instituição que oferta serviço de acolhimento institucional na modalidade casa de passagem para compartilhar informações e os principais desafios enfrentados;</w:t>
            </w:r>
          </w:p>
          <w:p w14:paraId="4F61177D" w14:textId="77777777" w:rsidR="002C757E" w:rsidRDefault="002C757E" w:rsidP="002C757E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5B1C0207" w14:textId="6A92AFB9" w:rsidR="002C757E" w:rsidRDefault="00EC731B" w:rsidP="002C757E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3</w:t>
            </w:r>
            <w:r w:rsidR="002C757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– Elaboração de folheto informativo para conscientização de pessoas residentes do Distrito Federal sobre a garantia de direitos e defesa das pessoas em situação de rua.</w:t>
            </w:r>
          </w:p>
          <w:p w14:paraId="73725E42" w14:textId="77777777" w:rsidR="002C757E" w:rsidRPr="00BE2C48" w:rsidRDefault="002C757E" w:rsidP="002C757E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49423F57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Resultados esperados:</w:t>
            </w:r>
          </w:p>
          <w:p w14:paraId="4B6503CA" w14:textId="318921A4" w:rsidR="00E36372" w:rsidRPr="002C757E" w:rsidRDefault="00F376B6" w:rsidP="00F376B6">
            <w:pPr>
              <w:spacing w:before="100" w:beforeAutospacing="1" w:after="100" w:afterAutospacing="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Espera-se que, com a realização do projeto, os cidadãos contemplados </w:t>
            </w:r>
            <w:r w:rsidR="002C757E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com o material informativo elaborado,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possam respeitar </w:t>
            </w:r>
            <w:r w:rsidR="00A80F77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e colaborar</w:t>
            </w:r>
            <w:r w:rsidR="002C757E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com as políticas de proteção e garantia de direitos d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a população em situação de rua</w:t>
            </w:r>
            <w:r w:rsidR="002C757E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  <w:p w14:paraId="3B926002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Metodologia:</w:t>
            </w:r>
          </w:p>
          <w:p w14:paraId="1BEEAA61" w14:textId="2E0B077B" w:rsidR="00083877" w:rsidRDefault="00434DD2" w:rsidP="00026D25">
            <w:pPr>
              <w:spacing w:before="100" w:beforeAutospacing="1" w:after="100" w:afterAutospacing="1"/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Disponibilizar formulário com perguntas aos cidadãos do Distrito Federal, a fim de verificar o grau de conhecimento destes quanto aos direitos da população em situação de rua</w:t>
            </w:r>
            <w:r w:rsidR="00083877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;</w:t>
            </w:r>
          </w:p>
          <w:p w14:paraId="3EB6BC7A" w14:textId="2313F2CD" w:rsidR="00083877" w:rsidRDefault="00083877" w:rsidP="00026D25">
            <w:pPr>
              <w:spacing w:before="100" w:beforeAutospacing="1" w:after="100" w:afterAutospacing="1"/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Realizar pesquisa com instituições e organismos do poder </w:t>
            </w:r>
            <w:r w:rsidR="002D049E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público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para ter ciência das ações e políticas já adotadas no Distrito Federal.</w:t>
            </w:r>
          </w:p>
          <w:p w14:paraId="0BC7E0B8" w14:textId="3D1A1591" w:rsidR="00083877" w:rsidRDefault="00083877" w:rsidP="00026D25">
            <w:pPr>
              <w:spacing w:before="100" w:beforeAutospacing="1" w:after="100" w:afterAutospacing="1"/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434DD2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laborar </w:t>
            </w:r>
            <w:r w:rsidR="00026D25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informativo</w:t>
            </w:r>
            <w:r w:rsidR="00434DD2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com os principais direitos de</w:t>
            </w:r>
            <w:r w:rsidR="004A6E59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ssa população. </w:t>
            </w:r>
          </w:p>
          <w:p w14:paraId="053B50FE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Cronograma de execução:</w:t>
            </w:r>
          </w:p>
          <w:p w14:paraId="4F9EDE2A" w14:textId="30DADFFE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INÍCIO:</w:t>
            </w:r>
            <w:r w:rsidR="003B37A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16/08/2023</w:t>
            </w:r>
          </w:p>
          <w:p w14:paraId="1CBDCC73" w14:textId="3BEAF568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TÉRMINO:</w:t>
            </w:r>
            <w:r w:rsidR="003B37A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D049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  <w:r w:rsidR="00E3637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 w:rsidR="002D049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  <w:r w:rsidR="00E3637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2790"/>
              <w:gridCol w:w="2790"/>
            </w:tblGrid>
            <w:tr w:rsidR="00381EFB" w:rsidRPr="00BE2C48" w14:paraId="32ED51C0" w14:textId="77777777" w:rsidTr="00AF6DC5">
              <w:tc>
                <w:tcPr>
                  <w:tcW w:w="2910" w:type="dxa"/>
                  <w:shd w:val="clear" w:color="auto" w:fill="E7E6E6" w:themeFill="background2"/>
                  <w:vAlign w:val="center"/>
                  <w:hideMark/>
                </w:tcPr>
                <w:p w14:paraId="38590D6D" w14:textId="77777777" w:rsidR="00381EFB" w:rsidRPr="00AF6DC5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Evento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  <w:hideMark/>
                </w:tcPr>
                <w:p w14:paraId="4B64EA89" w14:textId="77777777" w:rsidR="00381EFB" w:rsidRPr="00AF6DC5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Período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  <w:hideMark/>
                </w:tcPr>
                <w:p w14:paraId="79865EBC" w14:textId="77777777" w:rsidR="00381EFB" w:rsidRPr="00AF6DC5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Observação</w:t>
                  </w:r>
                </w:p>
              </w:tc>
            </w:tr>
            <w:tr w:rsidR="00381EFB" w:rsidRPr="00BE2C48" w14:paraId="014A0FB7" w14:textId="77777777" w:rsidTr="00AF6DC5">
              <w:tc>
                <w:tcPr>
                  <w:tcW w:w="2910" w:type="dxa"/>
                  <w:vAlign w:val="center"/>
                  <w:hideMark/>
                </w:tcPr>
                <w:p w14:paraId="55660B8A" w14:textId="20CE9DB8" w:rsidR="00381EFB" w:rsidRPr="002C757E" w:rsidRDefault="00F376B6" w:rsidP="00F376B6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2C757E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Definição do tema e da dupla de trabalho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46D59056" w14:textId="1B15BDB4" w:rsidR="00381EFB" w:rsidRPr="002C757E" w:rsidRDefault="00F376B6" w:rsidP="00F376B6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2C757E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16/8/2023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0A0F1FF7" w14:textId="63F6ACA1" w:rsidR="00381EFB" w:rsidRPr="002C757E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Encontro realizado durante a aula</w:t>
                  </w:r>
                </w:p>
              </w:tc>
            </w:tr>
            <w:tr w:rsidR="00381EFB" w:rsidRPr="00BE2C48" w14:paraId="3A8F960E" w14:textId="77777777" w:rsidTr="00AF6DC5">
              <w:tc>
                <w:tcPr>
                  <w:tcW w:w="2910" w:type="dxa"/>
                  <w:vAlign w:val="center"/>
                  <w:hideMark/>
                </w:tcPr>
                <w:p w14:paraId="11498FD0" w14:textId="0DCA416B" w:rsidR="00381EFB" w:rsidRPr="002C757E" w:rsidRDefault="00F376B6" w:rsidP="00F376B6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2C757E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Elaboração </w:t>
                  </w:r>
                  <w:r w:rsidR="002C757E" w:rsidRPr="002C757E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dos formulários</w:t>
                  </w:r>
                  <w:r w:rsidRPr="002C757E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– questionário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4E1ED81C" w14:textId="2C1B70B1" w:rsidR="00381EFB" w:rsidRPr="002C757E" w:rsidRDefault="00F376B6" w:rsidP="00F376B6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2C757E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23/8/2023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10557C56" w14:textId="34A741A3" w:rsidR="00381EFB" w:rsidRPr="002C757E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Trabalho em dupla</w:t>
                  </w:r>
                </w:p>
              </w:tc>
            </w:tr>
            <w:tr w:rsidR="00B36CF2" w:rsidRPr="00BE2C48" w14:paraId="5AEAE439" w14:textId="77777777" w:rsidTr="00DB7A24">
              <w:tc>
                <w:tcPr>
                  <w:tcW w:w="2910" w:type="dxa"/>
                  <w:vAlign w:val="center"/>
                </w:tcPr>
                <w:p w14:paraId="3CED079F" w14:textId="48EAC11F" w:rsidR="00B36CF2" w:rsidRPr="002C757E" w:rsidRDefault="00B36CF2" w:rsidP="00F431A8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Elaboração dos objetivos, </w:t>
                  </w:r>
                  <w:r w:rsidRPr="002C757E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da metodologia</w:t>
                  </w: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e das metas</w:t>
                  </w:r>
                </w:p>
              </w:tc>
              <w:tc>
                <w:tcPr>
                  <w:tcW w:w="2790" w:type="dxa"/>
                  <w:vAlign w:val="center"/>
                </w:tcPr>
                <w:p w14:paraId="6C4A39B9" w14:textId="7315817E" w:rsidR="00B36CF2" w:rsidRPr="002C757E" w:rsidRDefault="00B36CF2" w:rsidP="00F376B6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2C757E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30/8/2023</w:t>
                  </w:r>
                </w:p>
              </w:tc>
              <w:tc>
                <w:tcPr>
                  <w:tcW w:w="2790" w:type="dxa"/>
                </w:tcPr>
                <w:p w14:paraId="76955BAD" w14:textId="7CFF87F4" w:rsidR="00B36CF2" w:rsidRPr="002C757E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54C7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Trabalho em dupla</w:t>
                  </w:r>
                </w:p>
              </w:tc>
            </w:tr>
            <w:tr w:rsidR="00B36CF2" w:rsidRPr="00BE2C48" w14:paraId="094C0075" w14:textId="77777777" w:rsidTr="00DB7A24">
              <w:tc>
                <w:tcPr>
                  <w:tcW w:w="2910" w:type="dxa"/>
                  <w:vAlign w:val="center"/>
                </w:tcPr>
                <w:p w14:paraId="6A509EE4" w14:textId="06B1547A" w:rsidR="00B36CF2" w:rsidRDefault="00B36CF2" w:rsidP="004A3751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Realização de entrevista</w:t>
                  </w:r>
                </w:p>
              </w:tc>
              <w:tc>
                <w:tcPr>
                  <w:tcW w:w="2790" w:type="dxa"/>
                  <w:vAlign w:val="center"/>
                </w:tcPr>
                <w:p w14:paraId="31EC7828" w14:textId="627DF114" w:rsidR="00B36CF2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2C757E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  <w:r w:rsidRPr="002C757E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/8/2023</w:t>
                  </w:r>
                </w:p>
              </w:tc>
              <w:tc>
                <w:tcPr>
                  <w:tcW w:w="2790" w:type="dxa"/>
                </w:tcPr>
                <w:p w14:paraId="57CA5C83" w14:textId="720F9FBD" w:rsidR="00B36CF2" w:rsidRPr="002C757E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54C7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Trabalho em dupla</w:t>
                  </w:r>
                </w:p>
              </w:tc>
            </w:tr>
            <w:tr w:rsidR="00B36CF2" w:rsidRPr="00BE2C48" w14:paraId="2B95E526" w14:textId="77777777" w:rsidTr="00DB7A24">
              <w:tc>
                <w:tcPr>
                  <w:tcW w:w="2910" w:type="dxa"/>
                  <w:vAlign w:val="center"/>
                </w:tcPr>
                <w:p w14:paraId="6D36278C" w14:textId="3AF4A997" w:rsidR="00B36CF2" w:rsidRPr="002C757E" w:rsidRDefault="00B36CF2" w:rsidP="004A3751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Elaboração da fundamentação teórica </w:t>
                  </w:r>
                </w:p>
              </w:tc>
              <w:tc>
                <w:tcPr>
                  <w:tcW w:w="2790" w:type="dxa"/>
                  <w:vAlign w:val="center"/>
                </w:tcPr>
                <w:p w14:paraId="51981F51" w14:textId="008093AD" w:rsidR="00B36CF2" w:rsidRPr="002C757E" w:rsidRDefault="00B36CF2" w:rsidP="004A3751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06/09/2023</w:t>
                  </w:r>
                </w:p>
              </w:tc>
              <w:tc>
                <w:tcPr>
                  <w:tcW w:w="2790" w:type="dxa"/>
                </w:tcPr>
                <w:p w14:paraId="53F65133" w14:textId="5C6FF87D" w:rsidR="00B36CF2" w:rsidRPr="002C757E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54C7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Trabalho em dupla</w:t>
                  </w:r>
                </w:p>
              </w:tc>
            </w:tr>
            <w:tr w:rsidR="00B36CF2" w:rsidRPr="00BE2C48" w14:paraId="4C0674E3" w14:textId="77777777" w:rsidTr="00A278AA">
              <w:tc>
                <w:tcPr>
                  <w:tcW w:w="2910" w:type="dxa"/>
                  <w:vAlign w:val="center"/>
                </w:tcPr>
                <w:p w14:paraId="3084B18E" w14:textId="35E8593D" w:rsidR="00B36CF2" w:rsidRPr="002C757E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Elaboração da apresentação </w:t>
                  </w:r>
                </w:p>
              </w:tc>
              <w:tc>
                <w:tcPr>
                  <w:tcW w:w="2790" w:type="dxa"/>
                  <w:vAlign w:val="center"/>
                </w:tcPr>
                <w:p w14:paraId="6D9C6AC0" w14:textId="74D35A0C" w:rsidR="00B36CF2" w:rsidRPr="002C757E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13/09/2023</w:t>
                  </w:r>
                </w:p>
              </w:tc>
              <w:tc>
                <w:tcPr>
                  <w:tcW w:w="2790" w:type="dxa"/>
                </w:tcPr>
                <w:p w14:paraId="24B8439C" w14:textId="554DAA93" w:rsidR="00B36CF2" w:rsidRPr="002C757E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DA6203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Trabalho em dupla</w:t>
                  </w:r>
                </w:p>
              </w:tc>
            </w:tr>
            <w:tr w:rsidR="00B36CF2" w:rsidRPr="00BE2C48" w14:paraId="0EBC5CA2" w14:textId="77777777" w:rsidTr="00A278AA">
              <w:tc>
                <w:tcPr>
                  <w:tcW w:w="2910" w:type="dxa"/>
                  <w:vAlign w:val="center"/>
                </w:tcPr>
                <w:p w14:paraId="5AD21B87" w14:textId="298DC962" w:rsidR="00B36CF2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Revisão final do projeto</w:t>
                  </w:r>
                </w:p>
              </w:tc>
              <w:tc>
                <w:tcPr>
                  <w:tcW w:w="2790" w:type="dxa"/>
                  <w:vAlign w:val="center"/>
                </w:tcPr>
                <w:p w14:paraId="4976E2FC" w14:textId="5763E867" w:rsidR="00B36CF2" w:rsidRDefault="002D049E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  <w:r w:rsidR="00B36CF2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/</w:t>
                  </w: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11</w:t>
                  </w:r>
                  <w:r w:rsidR="00B36CF2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/2023</w:t>
                  </w:r>
                </w:p>
              </w:tc>
              <w:tc>
                <w:tcPr>
                  <w:tcW w:w="2790" w:type="dxa"/>
                </w:tcPr>
                <w:p w14:paraId="70EEA853" w14:textId="1F95B72D" w:rsidR="00B36CF2" w:rsidRPr="002C757E" w:rsidRDefault="00B36CF2" w:rsidP="00B36CF2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DA6203"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lang w:eastAsia="pt-BR"/>
                    </w:rPr>
                    <w:t>Trabalho em dupla</w:t>
                  </w:r>
                </w:p>
              </w:tc>
            </w:tr>
          </w:tbl>
          <w:p w14:paraId="317C745F" w14:textId="4A583A60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Considerações finais:</w:t>
            </w:r>
          </w:p>
          <w:p w14:paraId="2473319D" w14:textId="35E43EBB" w:rsidR="001267A1" w:rsidRPr="001267A1" w:rsidRDefault="001267A1" w:rsidP="00026D25">
            <w:pPr>
              <w:spacing w:line="360" w:lineRule="auto"/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Foi verificado que os</w:t>
            </w:r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princípios da Política Nacional para a População em Situação de Rua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são</w:t>
            </w:r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7243094E" w14:textId="77777777" w:rsidR="001267A1" w:rsidRPr="001267A1" w:rsidRDefault="001267A1" w:rsidP="00026D25">
            <w:pPr>
              <w:spacing w:line="360" w:lineRule="auto"/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I - </w:t>
            </w:r>
            <w:proofErr w:type="gramStart"/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respeito</w:t>
            </w:r>
            <w:proofErr w:type="gramEnd"/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à dignidade da pessoa humana; </w:t>
            </w:r>
          </w:p>
          <w:p w14:paraId="10C8FB29" w14:textId="77777777" w:rsidR="001267A1" w:rsidRPr="001267A1" w:rsidRDefault="001267A1" w:rsidP="00026D25">
            <w:pPr>
              <w:spacing w:line="360" w:lineRule="auto"/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II - </w:t>
            </w:r>
            <w:proofErr w:type="gramStart"/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direito</w:t>
            </w:r>
            <w:proofErr w:type="gramEnd"/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à convivência familiar e comunitária; </w:t>
            </w:r>
          </w:p>
          <w:p w14:paraId="0958171C" w14:textId="77777777" w:rsidR="001267A1" w:rsidRPr="001267A1" w:rsidRDefault="001267A1" w:rsidP="00026D25">
            <w:pPr>
              <w:spacing w:line="360" w:lineRule="auto"/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III - valorização e respeito à vida e à cidadania; </w:t>
            </w:r>
          </w:p>
          <w:p w14:paraId="617B5F43" w14:textId="77777777" w:rsidR="00026D25" w:rsidRDefault="001267A1" w:rsidP="00026D25">
            <w:pPr>
              <w:spacing w:line="360" w:lineRule="auto"/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IV - </w:t>
            </w:r>
            <w:proofErr w:type="gramStart"/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atendimento</w:t>
            </w:r>
            <w:proofErr w:type="gramEnd"/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humanizado e universalizado; e </w:t>
            </w:r>
          </w:p>
          <w:p w14:paraId="7A075680" w14:textId="55026C7F" w:rsidR="001267A1" w:rsidRDefault="001267A1" w:rsidP="00026D25">
            <w:pPr>
              <w:spacing w:line="360" w:lineRule="auto"/>
              <w:ind w:firstLine="1701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</w:pPr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V - </w:t>
            </w:r>
            <w:proofErr w:type="gramStart"/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respeito</w:t>
            </w:r>
            <w:proofErr w:type="gramEnd"/>
            <w:r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às condições sociais e diferenças de origem, raça, idade, nacionalidade, gênero, orientação sexual e religiosa, com atenção especial às pessoas </w:t>
            </w:r>
            <w:r w:rsidR="00236993" w:rsidRPr="001267A1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deficiência. </w:t>
            </w:r>
          </w:p>
          <w:p w14:paraId="44DF0CA6" w14:textId="0117EBED" w:rsidR="00236993" w:rsidRPr="00236993" w:rsidRDefault="00236993" w:rsidP="00026D25">
            <w:pPr>
              <w:spacing w:line="360" w:lineRule="auto"/>
              <w:ind w:firstLine="170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3699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Ocorre que conforme relatado por instituições especializadas no acolhimento de pessoas em situação de rua, os moradores de residências próximas a abrigos e casas de passagem, por desconhecer o processo de reintegração social, acabam agindo com preconceito e discriminação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, realizamos diálogo com a instituição INSTITUTO TOCAR que relacionou as principais dificuldades enfrentadas no serviço ofertado principalmente se tratando da comunidade e o vídeo pode ser acessado por meio do link: </w:t>
            </w:r>
            <w:hyperlink r:id="rId8" w:history="1">
              <w:r w:rsidRPr="00822B3A">
                <w:rPr>
                  <w:rStyle w:val="Hyperlink"/>
                  <w:rFonts w:ascii="Verdana" w:hAnsi="Verdana"/>
                  <w:sz w:val="20"/>
                  <w:szCs w:val="20"/>
                  <w:lang w:eastAsia="pt-BR"/>
                </w:rPr>
                <w:t>https://drive.google.com/file/d/1FIE3v3GiNFnwzRQ7ON3uXBlc3ghua-Si/view?usp=sharing</w:t>
              </w:r>
            </w:hyperlink>
          </w:p>
          <w:p w14:paraId="7CE96DE4" w14:textId="77777777" w:rsidR="00026D25" w:rsidRDefault="00236993" w:rsidP="00026D25">
            <w:pPr>
              <w:spacing w:line="360" w:lineRule="auto"/>
              <w:ind w:firstLine="170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3699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lastRenderedPageBreak/>
              <w:t>Portanto a população e sociedade em geral tem grande importância nesse processo, e pode contribuir com maior auxílio e não discriminação das pessoas em situação de rua que estão em processo de reintegração social.</w:t>
            </w:r>
          </w:p>
          <w:p w14:paraId="086BFB02" w14:textId="77777777" w:rsidR="00026D25" w:rsidRDefault="00026D25" w:rsidP="00026D25">
            <w:pPr>
              <w:spacing w:line="360" w:lineRule="auto"/>
              <w:ind w:firstLine="170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4CE2018E" w14:textId="51BDE43A" w:rsidR="00381EFB" w:rsidRPr="00026D25" w:rsidRDefault="00381EFB" w:rsidP="00026D25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Referência Bibliográfica:</w:t>
            </w:r>
          </w:p>
          <w:p w14:paraId="715FE9B4" w14:textId="3D083B61" w:rsidR="00026D25" w:rsidRPr="00026D25" w:rsidRDefault="00026D25" w:rsidP="00026D25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</w:pPr>
            <w:r w:rsidRPr="00026D25"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  <w:t>BRASIL, Decreto Nº 7.053 de 23 de dezembro de 2009</w:t>
            </w:r>
            <w:r w:rsidRPr="00026D2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r w:rsidRPr="00026D25"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  <w:t xml:space="preserve">Institui a Política Nacional para a População em Situação de Rua – Diário Oficial da União - </w:t>
            </w:r>
            <w:r w:rsidRPr="00026D25">
              <w:rPr>
                <w:rFonts w:ascii="Helvetica Neue" w:hAnsi="Helvetica Neue"/>
                <w:color w:val="000000" w:themeColor="text1"/>
                <w:sz w:val="21"/>
                <w:szCs w:val="21"/>
                <w:shd w:val="clear" w:color="auto" w:fill="FFFFFF"/>
              </w:rPr>
              <w:t>Seção 1. 24/12/2009. p. 16</w:t>
            </w:r>
          </w:p>
          <w:p w14:paraId="4C243ED9" w14:textId="64A69040" w:rsidR="00236993" w:rsidRPr="00026D25" w:rsidRDefault="00236993" w:rsidP="00236993">
            <w:pPr>
              <w:pStyle w:val="Ttulo2"/>
              <w:spacing w:before="333" w:after="0"/>
              <w:rPr>
                <w:rFonts w:ascii="Verdana" w:hAnsi="Verdana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eastAsia="pt-BR"/>
              </w:rPr>
            </w:pPr>
            <w:r w:rsidRPr="00026D25">
              <w:rPr>
                <w:rFonts w:ascii="Verdana" w:hAnsi="Verdana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eastAsia="pt-BR"/>
              </w:rPr>
              <w:t>SERVIÇO ESPECIALIZADO PARA PESSOAS EM SITUAÇÃO DE RUA – SEDES/DF – Disponível em &lt;</w:t>
            </w:r>
            <w:hyperlink r:id="rId9" w:history="1">
              <w:r w:rsidR="00026D25" w:rsidRPr="00026D25">
                <w:rPr>
                  <w:rStyle w:val="Hyperlink"/>
                  <w:rFonts w:ascii="Verdana" w:hAnsi="Verdana"/>
                  <w:b w:val="0"/>
                  <w:bCs w:val="0"/>
                  <w:i w:val="0"/>
                  <w:iCs w:val="0"/>
                  <w:color w:val="000000" w:themeColor="text1"/>
                  <w:sz w:val="20"/>
                  <w:szCs w:val="20"/>
                  <w:lang w:eastAsia="pt-BR"/>
                </w:rPr>
                <w:t>https://www.df.gov.br/servico-especializado-para-pessoas-em-situacao-de-rua/</w:t>
              </w:r>
            </w:hyperlink>
            <w:r w:rsidRPr="00026D25">
              <w:rPr>
                <w:rFonts w:ascii="Verdana" w:hAnsi="Verdana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eastAsia="pt-BR"/>
              </w:rPr>
              <w:t>&gt; acesso em 23/08/2023</w:t>
            </w:r>
          </w:p>
          <w:p w14:paraId="3C268CB7" w14:textId="2315568E" w:rsidR="00236993" w:rsidRPr="00026D25" w:rsidRDefault="00236993" w:rsidP="00236993">
            <w:pPr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</w:pPr>
          </w:p>
          <w:p w14:paraId="7C883733" w14:textId="4C160282" w:rsidR="00236993" w:rsidRPr="00026D25" w:rsidRDefault="00236993" w:rsidP="00236993">
            <w:pPr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</w:pPr>
            <w:r w:rsidRPr="00026D25"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  <w:t>SINTESE DA POLÍTICA PARA POPULAÇÃO DE RUA – MDH – Disponível em &lt;</w:t>
            </w:r>
            <w:r w:rsidR="00026D25" w:rsidRPr="00026D25"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  <w:t>https://www.gov.br/mdh/pt-br/navegue-por-temas/populacao-em-situacao-de-rua</w:t>
            </w:r>
            <w:r w:rsidRPr="00026D25"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  <w:t>&gt; acesso em 23/08/2023</w:t>
            </w:r>
          </w:p>
          <w:p w14:paraId="4EAB6E44" w14:textId="425E9641" w:rsidR="00026D25" w:rsidRPr="00026D25" w:rsidRDefault="00026D25" w:rsidP="00BC62DD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</w:pPr>
            <w:r w:rsidRPr="00026D25"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  <w:t xml:space="preserve">INSTITUTO TOCAR – Disponível em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  <w:t>&lt;</w:t>
            </w:r>
            <w:hyperlink r:id="rId10" w:history="1">
              <w:r w:rsidRPr="00822B3A">
                <w:rPr>
                  <w:rStyle w:val="Hyperlink"/>
                  <w:rFonts w:ascii="Verdana" w:hAnsi="Verdana"/>
                  <w:sz w:val="20"/>
                  <w:szCs w:val="20"/>
                  <w:lang w:eastAsia="pt-BR"/>
                </w:rPr>
                <w:t>https://institutotocar.org/conheca-o-instituto-tocar/?gclid=CjwKCAjwjaWoBhAmEiwAXz8DBSzkBXrmHRTLUJ87zbGYMUKn420DYGXUEXo7GbtkUAqWflSY5d6kLhoC5joQAvD_BwE</w:t>
              </w:r>
            </w:hyperlink>
            <w:r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  <w:t>&gt;</w:t>
            </w:r>
            <w:r w:rsidRPr="00026D25">
              <w:rPr>
                <w:rFonts w:ascii="Verdana" w:hAnsi="Verdana"/>
                <w:color w:val="000000" w:themeColor="text1"/>
                <w:sz w:val="20"/>
                <w:szCs w:val="20"/>
                <w:lang w:eastAsia="pt-BR"/>
              </w:rPr>
              <w:t xml:space="preserve"> acesso em 23/08/2023</w:t>
            </w:r>
          </w:p>
          <w:p w14:paraId="15628E2A" w14:textId="07BF52ED" w:rsidR="00381EFB" w:rsidRPr="00BE2C48" w:rsidRDefault="00381EFB" w:rsidP="00026D25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196267F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> </w:t>
      </w:r>
    </w:p>
    <w:sectPr w:rsidR="00381EFB" w:rsidRPr="00BE2C48" w:rsidSect="007B667F">
      <w:headerReference w:type="even" r:id="rId11"/>
      <w:headerReference w:type="default" r:id="rId12"/>
      <w:footerReference w:type="default" r:id="rId13"/>
      <w:headerReference w:type="first" r:id="rId14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3CBC" w14:textId="77777777" w:rsidR="004B056C" w:rsidRDefault="004B056C">
      <w:r>
        <w:separator/>
      </w:r>
    </w:p>
  </w:endnote>
  <w:endnote w:type="continuationSeparator" w:id="0">
    <w:p w14:paraId="33850027" w14:textId="77777777" w:rsidR="004B056C" w:rsidRDefault="004B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4E750CDF" w14:textId="77777777" w:rsidR="000361C5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F2">
          <w:rPr>
            <w:noProof/>
          </w:rPr>
          <w:t>4</w:t>
        </w:r>
        <w:r>
          <w:fldChar w:fldCharType="end"/>
        </w:r>
        <w:r w:rsidR="001153F4">
          <w:t>/</w:t>
        </w:r>
        <w:r w:rsidR="000361C5">
          <w:t>3</w:t>
        </w:r>
      </w:p>
      <w:p w14:paraId="3292CFF9" w14:textId="211F726A" w:rsidR="000510ED" w:rsidRDefault="00000000">
        <w:pPr>
          <w:pStyle w:val="Rodap"/>
          <w:jc w:val="right"/>
        </w:pPr>
      </w:p>
    </w:sdtContent>
  </w:sdt>
  <w:p w14:paraId="45415787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A9CB" w14:textId="77777777" w:rsidR="004B056C" w:rsidRDefault="004B056C">
      <w:r>
        <w:separator/>
      </w:r>
    </w:p>
  </w:footnote>
  <w:footnote w:type="continuationSeparator" w:id="0">
    <w:p w14:paraId="280A3AB6" w14:textId="77777777" w:rsidR="004B056C" w:rsidRDefault="004B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C41B" w14:textId="77777777" w:rsidR="008D6719" w:rsidRDefault="008D67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7C0B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074E79" wp14:editId="685A4654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69786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2D4FCE3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69A7DCD7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7F62" w14:textId="77777777" w:rsidR="008D6719" w:rsidRDefault="008D67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7250">
    <w:abstractNumId w:val="0"/>
  </w:num>
  <w:num w:numId="2" w16cid:durableId="1157307490">
    <w:abstractNumId w:val="1"/>
  </w:num>
  <w:num w:numId="3" w16cid:durableId="1716586957">
    <w:abstractNumId w:val="2"/>
  </w:num>
  <w:num w:numId="4" w16cid:durableId="1810509233">
    <w:abstractNumId w:val="36"/>
  </w:num>
  <w:num w:numId="5" w16cid:durableId="1658535368">
    <w:abstractNumId w:val="7"/>
  </w:num>
  <w:num w:numId="6" w16cid:durableId="1869104995">
    <w:abstractNumId w:val="10"/>
  </w:num>
  <w:num w:numId="7" w16cid:durableId="1514342993">
    <w:abstractNumId w:val="37"/>
  </w:num>
  <w:num w:numId="8" w16cid:durableId="626737669">
    <w:abstractNumId w:val="27"/>
  </w:num>
  <w:num w:numId="9" w16cid:durableId="2129809363">
    <w:abstractNumId w:val="24"/>
  </w:num>
  <w:num w:numId="10" w16cid:durableId="2050953693">
    <w:abstractNumId w:val="33"/>
  </w:num>
  <w:num w:numId="11" w16cid:durableId="239289984">
    <w:abstractNumId w:val="28"/>
  </w:num>
  <w:num w:numId="12" w16cid:durableId="1125656733">
    <w:abstractNumId w:val="3"/>
  </w:num>
  <w:num w:numId="13" w16cid:durableId="1343816510">
    <w:abstractNumId w:val="6"/>
  </w:num>
  <w:num w:numId="14" w16cid:durableId="603271229">
    <w:abstractNumId w:val="16"/>
  </w:num>
  <w:num w:numId="15" w16cid:durableId="1254556601">
    <w:abstractNumId w:val="25"/>
  </w:num>
  <w:num w:numId="16" w16cid:durableId="1917352663">
    <w:abstractNumId w:val="8"/>
  </w:num>
  <w:num w:numId="17" w16cid:durableId="441464598">
    <w:abstractNumId w:val="39"/>
  </w:num>
  <w:num w:numId="18" w16cid:durableId="1977178502">
    <w:abstractNumId w:val="4"/>
  </w:num>
  <w:num w:numId="19" w16cid:durableId="1852601006">
    <w:abstractNumId w:val="12"/>
  </w:num>
  <w:num w:numId="20" w16cid:durableId="769161509">
    <w:abstractNumId w:val="9"/>
  </w:num>
  <w:num w:numId="21" w16cid:durableId="1734816741">
    <w:abstractNumId w:val="30"/>
  </w:num>
  <w:num w:numId="22" w16cid:durableId="1846357465">
    <w:abstractNumId w:val="13"/>
  </w:num>
  <w:num w:numId="23" w16cid:durableId="1718122725">
    <w:abstractNumId w:val="17"/>
  </w:num>
  <w:num w:numId="24" w16cid:durableId="839084909">
    <w:abstractNumId w:val="29"/>
  </w:num>
  <w:num w:numId="25" w16cid:durableId="1493763248">
    <w:abstractNumId w:val="38"/>
  </w:num>
  <w:num w:numId="26" w16cid:durableId="1382097991">
    <w:abstractNumId w:val="21"/>
  </w:num>
  <w:num w:numId="27" w16cid:durableId="1690833342">
    <w:abstractNumId w:val="34"/>
  </w:num>
  <w:num w:numId="28" w16cid:durableId="116019286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797155">
    <w:abstractNumId w:val="18"/>
  </w:num>
  <w:num w:numId="30" w16cid:durableId="1388916831">
    <w:abstractNumId w:val="5"/>
  </w:num>
  <w:num w:numId="31" w16cid:durableId="100691148">
    <w:abstractNumId w:val="11"/>
  </w:num>
  <w:num w:numId="32" w16cid:durableId="1602175756">
    <w:abstractNumId w:val="14"/>
  </w:num>
  <w:num w:numId="33" w16cid:durableId="1261793423">
    <w:abstractNumId w:val="22"/>
  </w:num>
  <w:num w:numId="34" w16cid:durableId="920526461">
    <w:abstractNumId w:val="31"/>
  </w:num>
  <w:num w:numId="35" w16cid:durableId="458032448">
    <w:abstractNumId w:val="32"/>
  </w:num>
  <w:num w:numId="36" w16cid:durableId="1340766079">
    <w:abstractNumId w:val="26"/>
  </w:num>
  <w:num w:numId="37" w16cid:durableId="1989897940">
    <w:abstractNumId w:val="23"/>
  </w:num>
  <w:num w:numId="38" w16cid:durableId="2002075053">
    <w:abstractNumId w:val="15"/>
  </w:num>
  <w:num w:numId="39" w16cid:durableId="281033315">
    <w:abstractNumId w:val="35"/>
  </w:num>
  <w:num w:numId="40" w16cid:durableId="17154950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3C"/>
    <w:rsid w:val="0000116A"/>
    <w:rsid w:val="000011DF"/>
    <w:rsid w:val="000053DE"/>
    <w:rsid w:val="00005B4D"/>
    <w:rsid w:val="000219D6"/>
    <w:rsid w:val="00023F58"/>
    <w:rsid w:val="00026D25"/>
    <w:rsid w:val="000304F8"/>
    <w:rsid w:val="00031047"/>
    <w:rsid w:val="00032BEE"/>
    <w:rsid w:val="00034836"/>
    <w:rsid w:val="000361C5"/>
    <w:rsid w:val="00036465"/>
    <w:rsid w:val="000377A3"/>
    <w:rsid w:val="0005066B"/>
    <w:rsid w:val="000510ED"/>
    <w:rsid w:val="000544D2"/>
    <w:rsid w:val="00057BC8"/>
    <w:rsid w:val="00065016"/>
    <w:rsid w:val="00066E37"/>
    <w:rsid w:val="00083877"/>
    <w:rsid w:val="00086474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0536F"/>
    <w:rsid w:val="001153F4"/>
    <w:rsid w:val="00120483"/>
    <w:rsid w:val="00120F10"/>
    <w:rsid w:val="00122367"/>
    <w:rsid w:val="001254BB"/>
    <w:rsid w:val="00125CF4"/>
    <w:rsid w:val="001267A1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293A"/>
    <w:rsid w:val="0017659A"/>
    <w:rsid w:val="00184A4C"/>
    <w:rsid w:val="00191FEE"/>
    <w:rsid w:val="001973AE"/>
    <w:rsid w:val="001A7838"/>
    <w:rsid w:val="001B0C35"/>
    <w:rsid w:val="001B1AF0"/>
    <w:rsid w:val="001B2EE0"/>
    <w:rsid w:val="001B3A56"/>
    <w:rsid w:val="001B668F"/>
    <w:rsid w:val="001C08B0"/>
    <w:rsid w:val="001D5EA2"/>
    <w:rsid w:val="001D707A"/>
    <w:rsid w:val="001E1B84"/>
    <w:rsid w:val="001E6E02"/>
    <w:rsid w:val="001E7776"/>
    <w:rsid w:val="001E7F81"/>
    <w:rsid w:val="00202315"/>
    <w:rsid w:val="00207834"/>
    <w:rsid w:val="0020785E"/>
    <w:rsid w:val="00210CAC"/>
    <w:rsid w:val="002115A6"/>
    <w:rsid w:val="00221265"/>
    <w:rsid w:val="00226D8D"/>
    <w:rsid w:val="00234638"/>
    <w:rsid w:val="00236993"/>
    <w:rsid w:val="00236F8A"/>
    <w:rsid w:val="00247FDD"/>
    <w:rsid w:val="00251599"/>
    <w:rsid w:val="00254F11"/>
    <w:rsid w:val="002761C5"/>
    <w:rsid w:val="00277B6D"/>
    <w:rsid w:val="00282C9E"/>
    <w:rsid w:val="002845F3"/>
    <w:rsid w:val="002856AF"/>
    <w:rsid w:val="00286DBA"/>
    <w:rsid w:val="00291677"/>
    <w:rsid w:val="002930B8"/>
    <w:rsid w:val="002930F0"/>
    <w:rsid w:val="00294ED0"/>
    <w:rsid w:val="00295139"/>
    <w:rsid w:val="00295DB8"/>
    <w:rsid w:val="00297240"/>
    <w:rsid w:val="002A0028"/>
    <w:rsid w:val="002A3DEB"/>
    <w:rsid w:val="002A5FB3"/>
    <w:rsid w:val="002A620D"/>
    <w:rsid w:val="002A70D7"/>
    <w:rsid w:val="002B1105"/>
    <w:rsid w:val="002B4BD7"/>
    <w:rsid w:val="002B5A1E"/>
    <w:rsid w:val="002B6AEA"/>
    <w:rsid w:val="002C3E9C"/>
    <w:rsid w:val="002C757E"/>
    <w:rsid w:val="002D049E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36FA"/>
    <w:rsid w:val="002F5454"/>
    <w:rsid w:val="00305748"/>
    <w:rsid w:val="00307FAC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B37A7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227C5"/>
    <w:rsid w:val="004260CB"/>
    <w:rsid w:val="00431BBE"/>
    <w:rsid w:val="004337A8"/>
    <w:rsid w:val="00433EFC"/>
    <w:rsid w:val="00434DD2"/>
    <w:rsid w:val="0044137A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3751"/>
    <w:rsid w:val="004A5D06"/>
    <w:rsid w:val="004A6E59"/>
    <w:rsid w:val="004B056C"/>
    <w:rsid w:val="004C79F4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64073"/>
    <w:rsid w:val="005740A1"/>
    <w:rsid w:val="00576DCF"/>
    <w:rsid w:val="0058503A"/>
    <w:rsid w:val="005855EA"/>
    <w:rsid w:val="0058564D"/>
    <w:rsid w:val="005870FF"/>
    <w:rsid w:val="00593128"/>
    <w:rsid w:val="005A129B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2BED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1494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6F7D4D"/>
    <w:rsid w:val="00707B48"/>
    <w:rsid w:val="00721FC2"/>
    <w:rsid w:val="007261BE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08CC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42B44"/>
    <w:rsid w:val="008503F2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D671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3390C"/>
    <w:rsid w:val="00A34DAB"/>
    <w:rsid w:val="00A35696"/>
    <w:rsid w:val="00A36622"/>
    <w:rsid w:val="00A373A7"/>
    <w:rsid w:val="00A5736E"/>
    <w:rsid w:val="00A735E1"/>
    <w:rsid w:val="00A75EC7"/>
    <w:rsid w:val="00A80F7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0AA4"/>
    <w:rsid w:val="00AE7270"/>
    <w:rsid w:val="00AF6736"/>
    <w:rsid w:val="00AF6DC5"/>
    <w:rsid w:val="00B02FCD"/>
    <w:rsid w:val="00B14A42"/>
    <w:rsid w:val="00B221E8"/>
    <w:rsid w:val="00B251C4"/>
    <w:rsid w:val="00B3223F"/>
    <w:rsid w:val="00B36CF2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C04B3"/>
    <w:rsid w:val="00BE6101"/>
    <w:rsid w:val="00BE7834"/>
    <w:rsid w:val="00BF05FC"/>
    <w:rsid w:val="00C100F4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48EE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15E4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372"/>
    <w:rsid w:val="00E36A13"/>
    <w:rsid w:val="00E430BC"/>
    <w:rsid w:val="00E65989"/>
    <w:rsid w:val="00E750DF"/>
    <w:rsid w:val="00E77E1A"/>
    <w:rsid w:val="00E838B0"/>
    <w:rsid w:val="00E875E4"/>
    <w:rsid w:val="00E902AD"/>
    <w:rsid w:val="00E97DE1"/>
    <w:rsid w:val="00EA1579"/>
    <w:rsid w:val="00EB0531"/>
    <w:rsid w:val="00EC731B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376B6"/>
    <w:rsid w:val="00F4174E"/>
    <w:rsid w:val="00F431A8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200"/>
    <w:rsid w:val="00FB3FC0"/>
    <w:rsid w:val="00FB4A74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118C7"/>
  <w15:docId w15:val="{604C8088-C789-3F4E-87E2-94FA53AB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apple-converted-space">
    <w:name w:val="apple-converted-space"/>
    <w:basedOn w:val="Fontepargpadro"/>
    <w:rsid w:val="008D6719"/>
  </w:style>
  <w:style w:type="paragraph" w:customStyle="1" w:styleId="cvgsua">
    <w:name w:val="cvgsua"/>
    <w:basedOn w:val="Normal"/>
    <w:rsid w:val="001267A1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oypena">
    <w:name w:val="oypena"/>
    <w:basedOn w:val="Fontepargpadro"/>
    <w:rsid w:val="001267A1"/>
  </w:style>
  <w:style w:type="character" w:styleId="MenoPendente">
    <w:name w:val="Unresolved Mention"/>
    <w:basedOn w:val="Fontepargpadro"/>
    <w:uiPriority w:val="99"/>
    <w:semiHidden/>
    <w:unhideWhenUsed/>
    <w:rsid w:val="0023699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026D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IE3v3GiNFnwzRQ7ON3uXBlc3ghua-Si/view?usp=shar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stitutotocar.org/conheca-o-instituto-tocar/?gclid=CjwKCAjwjaWoBhAmEiwAXz8DBSzkBXrmHRTLUJ87zbGYMUKn420DYGXUEXo7GbtkUAqWflSY5d6kLhoC5joQA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f.gov.br/servico-especializado-para-pessoas-em-situacao-de-ru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1380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8817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Lilian</dc:creator>
  <cp:lastModifiedBy>fac.processus50@outlook.com</cp:lastModifiedBy>
  <cp:revision>2</cp:revision>
  <cp:lastPrinted>2022-11-22T14:39:00Z</cp:lastPrinted>
  <dcterms:created xsi:type="dcterms:W3CDTF">2023-09-27T19:48:00Z</dcterms:created>
  <dcterms:modified xsi:type="dcterms:W3CDTF">2023-09-27T19:48:00Z</dcterms:modified>
</cp:coreProperties>
</file>