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Anexo VI</w:t>
      </w:r>
      <w:r w:rsidDel="00000000" w:rsidR="00000000" w:rsidRPr="00000000">
        <w:rPr>
          <w:rtl w:val="0"/>
        </w:rPr>
        <w:t xml:space="preserve"> – MODELO DE CRONOGRAMA DE EXECUÇÃO</w:t>
      </w:r>
    </w:p>
    <w:tbl>
      <w:tblPr>
        <w:tblStyle w:val="Table1"/>
        <w:tblW w:w="12322.999999999996" w:type="dxa"/>
        <w:jc w:val="center"/>
        <w:tblLayout w:type="fixed"/>
        <w:tblLook w:val="0400"/>
      </w:tblPr>
      <w:tblGrid>
        <w:gridCol w:w="5646"/>
        <w:gridCol w:w="678"/>
        <w:gridCol w:w="679"/>
        <w:gridCol w:w="169"/>
        <w:gridCol w:w="170"/>
        <w:gridCol w:w="170"/>
        <w:gridCol w:w="170"/>
        <w:gridCol w:w="678"/>
        <w:gridCol w:w="339"/>
        <w:gridCol w:w="340"/>
        <w:gridCol w:w="169"/>
        <w:gridCol w:w="170"/>
        <w:gridCol w:w="170"/>
        <w:gridCol w:w="170"/>
        <w:gridCol w:w="2605"/>
        <w:tblGridChange w:id="0">
          <w:tblGrid>
            <w:gridCol w:w="5646"/>
            <w:gridCol w:w="678"/>
            <w:gridCol w:w="679"/>
            <w:gridCol w:w="169"/>
            <w:gridCol w:w="170"/>
            <w:gridCol w:w="170"/>
            <w:gridCol w:w="170"/>
            <w:gridCol w:w="678"/>
            <w:gridCol w:w="339"/>
            <w:gridCol w:w="340"/>
            <w:gridCol w:w="169"/>
            <w:gridCol w:w="170"/>
            <w:gridCol w:w="170"/>
            <w:gridCol w:w="170"/>
            <w:gridCol w:w="260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gridSpan w:val="15"/>
            <w:tcBorders>
              <w:top w:color="af7b51" w:space="0" w:sz="8" w:val="single"/>
              <w:left w:color="af7b51" w:space="0" w:sz="8" w:val="single"/>
              <w:bottom w:color="af7b51" w:space="0" w:sz="24" w:val="single"/>
              <w:right w:color="af7b51" w:space="0" w:sz="8" w:val="single"/>
            </w:tcBorders>
            <w:shd w:fill="d9d9d9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CRONOGRAMA DE EXECUÇÃO - modelo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tcBorders>
              <w:top w:color="af7b51" w:space="0" w:sz="8" w:val="single"/>
              <w:left w:color="af7b51" w:space="0" w:sz="8" w:val="single"/>
              <w:bottom w:color="af7b51" w:space="0" w:sz="24" w:val="single"/>
              <w:right w:color="af7b51" w:space="0" w:sz="8" w:val="single"/>
            </w:tcBorders>
            <w:shd w:fill="d9d9d9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12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ATIVIDADES (sugeridas)</w:t>
            </w:r>
          </w:p>
        </w:tc>
        <w:tc>
          <w:tcPr>
            <w:gridSpan w:val="13"/>
            <w:tcBorders>
              <w:top w:color="af7b51" w:space="0" w:sz="8" w:val="single"/>
              <w:left w:color="af7b51" w:space="0" w:sz="8" w:val="single"/>
              <w:bottom w:color="af7b51" w:space="0" w:sz="24" w:val="single"/>
              <w:right w:color="af7b51" w:space="0" w:sz="8" w:val="single"/>
            </w:tcBorders>
            <w:shd w:fill="d9d9d9" w:val="clear"/>
          </w:tcPr>
          <w:p w:rsidR="00000000" w:rsidDel="00000000" w:rsidP="00000000" w:rsidRDefault="00000000" w:rsidRPr="00000000" w14:paraId="00000013">
            <w:pPr>
              <w:spacing w:after="12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CRONOGRAMA/MÊS</w:t>
            </w:r>
          </w:p>
        </w:tc>
        <w:tc>
          <w:tcPr>
            <w:tcBorders>
              <w:top w:color="af7b51" w:space="0" w:sz="8" w:val="single"/>
              <w:left w:color="af7b51" w:space="0" w:sz="8" w:val="single"/>
              <w:bottom w:color="af7b51" w:space="0" w:sz="24" w:val="single"/>
              <w:right w:color="af7b51" w:space="0" w:sz="8" w:val="single"/>
            </w:tcBorders>
            <w:shd w:fill="d9d9d9" w:val="clear"/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12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 prevista</w:t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vMerge w:val="restart"/>
            <w:tcBorders>
              <w:top w:color="af7b51" w:space="0" w:sz="24" w:val="single"/>
              <w:left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4" w:right="0" w:hanging="357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Pesquisa exploratória para definição de TEMA/TÍTLO da Disciplina Extensionista.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PREPARO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Mês 1:</w:t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Mês 2:</w:t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Mês 3:</w:t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Mês 4:</w:t>
            </w:r>
          </w:p>
        </w:tc>
        <w:tc>
          <w:tcPr>
            <w:gridSpan w:val="2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Mês 5:</w:t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Mês 6:</w:t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Início: fevereiro/2026</w:t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vMerge w:val="continue"/>
            <w:tcBorders>
              <w:top w:color="af7b51" w:space="0" w:sz="24" w:val="single"/>
              <w:left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bfbfbf" w:val="clear"/>
          </w:tcPr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1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Término: 28/02/2026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tcBorders>
              <w:left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Escolha da Organização/ Instituição e Elaboração de Projeto.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INTEGRAÇÃO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right w:color="af7b51" w:space="0" w:sz="8" w:val="single"/>
            </w:tcBorders>
            <w:shd w:fill="bfbfbf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af7b51" w:space="0" w:sz="24" w:val="single"/>
              <w:left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DATA: 28/02/2026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Entrega ao Professor do Projeto preliminar e realização de alterações solicitadas. </w:t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bfbfbf" w:val="clea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ffffff" w:val="clea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ffffff" w:val="clea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ffffff" w:val="clea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DATA: 10/03/2026</w:t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Entrega do Projeto definitivo (corrigido)</w:t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ffffff" w:val="clear"/>
          </w:tcPr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bfbfbf" w:val="clear"/>
          </w:tcPr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bfbfbf" w:val="clear"/>
          </w:tcPr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ffffff" w:val="clear"/>
          </w:tcPr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DATA: 15/03/2026</w:t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Agendamento para implementação do Projeto na comunidade externa</w:t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ffffff" w:val="clear"/>
          </w:tcPr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ffffff" w:val="clear"/>
          </w:tcPr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a6a6a6" w:val="clear"/>
          </w:tcPr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DATA: 17/03/2026</w:t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Acertos gerais para implementação do Projeto</w:t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ffffff" w:val="clear"/>
          </w:tcPr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a6a6a6" w:val="clear"/>
          </w:tcPr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DATA: 20/03/2026</w:t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Implementação do Projeto com coleta de “evidências” e outras informações importantes.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SOCIALIZAÇÃO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ffffff" w:val="clear"/>
          </w:tcPr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a6a6a6" w:val="clear"/>
          </w:tcPr>
          <w:p w:rsidR="00000000" w:rsidDel="00000000" w:rsidP="00000000" w:rsidRDefault="00000000" w:rsidRPr="00000000" w14:paraId="000000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DATA: 30/03/2026</w:t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Elaboração do RELATÓRIO FINAL e envio de toda a documentação comprobatória ao Professor articulador</w:t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ffffff" w:val="clear"/>
          </w:tcPr>
          <w:p w:rsidR="00000000" w:rsidDel="00000000" w:rsidP="00000000" w:rsidRDefault="00000000" w:rsidRPr="00000000" w14:paraId="000000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a6a6a6" w:val="clear"/>
          </w:tcPr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DATA: 10/04/2026</w:t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Avaliação pelo Professor articulador</w:t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ffffff" w:val="clear"/>
          </w:tcPr>
          <w:p w:rsidR="00000000" w:rsidDel="00000000" w:rsidP="00000000" w:rsidRDefault="00000000" w:rsidRPr="00000000" w14:paraId="000000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a6a6a6" w:val="clear"/>
          </w:tcPr>
          <w:p w:rsidR="00000000" w:rsidDel="00000000" w:rsidP="00000000" w:rsidRDefault="00000000" w:rsidRPr="00000000" w14:paraId="000000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a6a6a6" w:val="clear"/>
          </w:tcPr>
          <w:p w:rsidR="00000000" w:rsidDel="00000000" w:rsidP="00000000" w:rsidRDefault="00000000" w:rsidRPr="00000000" w14:paraId="000000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DATA: 17/04/2026</w:t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(*) Registro e MENÇÃO        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CONCLUSÃO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(*) SPGAex e  SEI</w:t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ffffff" w:val="clear"/>
          </w:tcPr>
          <w:p w:rsidR="00000000" w:rsidDel="00000000" w:rsidP="00000000" w:rsidRDefault="00000000" w:rsidRPr="00000000" w14:paraId="000000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</w:tcPr>
          <w:p w:rsidR="00000000" w:rsidDel="00000000" w:rsidP="00000000" w:rsidRDefault="00000000" w:rsidRPr="00000000" w14:paraId="000000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a6a6a6" w:val="clear"/>
          </w:tcPr>
          <w:p w:rsidR="00000000" w:rsidDel="00000000" w:rsidP="00000000" w:rsidRDefault="00000000" w:rsidRPr="00000000" w14:paraId="000000C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f7b51" w:space="0" w:sz="24" w:val="single"/>
              <w:left w:color="af7b51" w:space="0" w:sz="8" w:val="single"/>
              <w:bottom w:color="af7b51" w:space="0" w:sz="8" w:val="single"/>
              <w:right w:color="af7b51" w:space="0" w:sz="8" w:val="single"/>
            </w:tcBorders>
            <w:shd w:fill="a6a6a6" w:val="clear"/>
          </w:tcPr>
          <w:p w:rsidR="00000000" w:rsidDel="00000000" w:rsidP="00000000" w:rsidRDefault="00000000" w:rsidRPr="00000000" w14:paraId="000000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f7b51" w:space="0" w:sz="8" w:val="single"/>
              <w:bottom w:color="af7b51" w:space="0" w:sz="8" w:val="single"/>
              <w:right w:color="af7b51" w:space="0" w:sz="8" w:val="single"/>
            </w:tcBorders>
            <w:tcMar>
              <w:top w:w="15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 final: junho/2026</w:t>
            </w:r>
          </w:p>
        </w:tc>
      </w:tr>
    </w:tbl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6" w:w="16838" w:orient="landscape"/>
      <w:pgMar w:bottom="1418" w:top="1418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mic Sans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omic Sans MS" w:cs="Comic Sans MS" w:eastAsia="Comic Sans MS" w:hAnsi="Comic Sans M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Centro Universotário Processus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– </w:t>
    </w:r>
    <w:r w:rsidDel="00000000" w:rsidR="00000000" w:rsidRPr="00000000">
      <w:rPr>
        <w:rFonts w:ascii="Comic Sans MS" w:cs="Comic Sans MS" w:eastAsia="Comic Sans MS" w:hAnsi="Comic Sans M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UNIPROCESSUS 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                         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rtl w:val="0"/>
      </w:rPr>
      <w:t xml:space="preserve">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foz0TsW2/g3gynFB9vYyEbz6iw==">CgMxLjA4AHIhMTh1SDZqcmNEUlVySHhYcGsyYTc3dVViODdjbUFDSTFL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